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DBEEF" w14:textId="77777777" w:rsidR="00572A37" w:rsidRDefault="00572A37" w:rsidP="00572A3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99341A" wp14:editId="5BF14A70">
            <wp:simplePos x="0" y="0"/>
            <wp:positionH relativeFrom="column">
              <wp:posOffset>2552700</wp:posOffset>
            </wp:positionH>
            <wp:positionV relativeFrom="paragraph">
              <wp:posOffset>12700</wp:posOffset>
            </wp:positionV>
            <wp:extent cx="1499235" cy="904240"/>
            <wp:effectExtent l="0" t="0" r="0" b="10160"/>
            <wp:wrapTight wrapText="bothSides">
              <wp:wrapPolygon edited="0">
                <wp:start x="0" y="0"/>
                <wp:lineTo x="0" y="21236"/>
                <wp:lineTo x="21225" y="21236"/>
                <wp:lineTo x="21225" y="0"/>
                <wp:lineTo x="0" y="0"/>
              </wp:wrapPolygon>
            </wp:wrapTight>
            <wp:docPr id="3" name="Picture 3" descr="Logo-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2AF3D" w14:textId="77777777" w:rsidR="00572A37" w:rsidRPr="00D665F0" w:rsidRDefault="00572A37" w:rsidP="00572A37">
      <w:pPr>
        <w:jc w:val="center"/>
        <w:rPr>
          <w:sz w:val="20"/>
          <w:szCs w:val="20"/>
        </w:rPr>
      </w:pPr>
    </w:p>
    <w:p w14:paraId="51A99DE3" w14:textId="77777777" w:rsidR="00572A37" w:rsidRDefault="00572A37" w:rsidP="00572A37">
      <w:pPr>
        <w:jc w:val="center"/>
        <w:rPr>
          <w:sz w:val="28"/>
          <w:szCs w:val="28"/>
        </w:rPr>
      </w:pPr>
    </w:p>
    <w:p w14:paraId="731AE86D" w14:textId="77777777" w:rsidR="00572A37" w:rsidRDefault="00572A37" w:rsidP="00572A37">
      <w:pPr>
        <w:jc w:val="center"/>
        <w:rPr>
          <w:sz w:val="28"/>
          <w:szCs w:val="28"/>
        </w:rPr>
      </w:pPr>
    </w:p>
    <w:p w14:paraId="192E430A" w14:textId="77777777" w:rsidR="00572A37" w:rsidRDefault="00572A37" w:rsidP="004B5003">
      <w:pPr>
        <w:rPr>
          <w:sz w:val="28"/>
          <w:szCs w:val="28"/>
        </w:rPr>
      </w:pPr>
    </w:p>
    <w:p w14:paraId="1ECE8FCE" w14:textId="77777777" w:rsidR="00572A37" w:rsidRPr="00C91318" w:rsidRDefault="00572A37" w:rsidP="00572A37">
      <w:pPr>
        <w:rPr>
          <w:sz w:val="16"/>
          <w:szCs w:val="16"/>
        </w:rPr>
      </w:pPr>
    </w:p>
    <w:p w14:paraId="756F9C03" w14:textId="18153430" w:rsidR="00572A37" w:rsidRPr="00D665F0" w:rsidRDefault="00C91318" w:rsidP="00572A37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572A37" w:rsidRPr="00D665F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572A37" w:rsidRPr="00D665F0">
        <w:rPr>
          <w:sz w:val="28"/>
          <w:szCs w:val="28"/>
        </w:rPr>
        <w:t xml:space="preserve"> Tuition and Fee Schedule</w:t>
      </w:r>
    </w:p>
    <w:p w14:paraId="55C1188C" w14:textId="77777777" w:rsidR="00572A37" w:rsidRPr="00EA5933" w:rsidRDefault="00572A37" w:rsidP="00572A37">
      <w:pPr>
        <w:jc w:val="center"/>
        <w:rPr>
          <w:sz w:val="16"/>
          <w:szCs w:val="16"/>
        </w:rPr>
      </w:pPr>
    </w:p>
    <w:p w14:paraId="6BD79DA1" w14:textId="77777777" w:rsidR="00572A37" w:rsidRPr="00561D33" w:rsidRDefault="00572A37" w:rsidP="00572A37">
      <w:pPr>
        <w:rPr>
          <w:sz w:val="20"/>
          <w:szCs w:val="20"/>
        </w:rPr>
      </w:pPr>
      <w:r w:rsidRPr="00561D33">
        <w:rPr>
          <w:sz w:val="20"/>
          <w:szCs w:val="20"/>
        </w:rPr>
        <w:t>We are pleased that you are making the choice to send y</w:t>
      </w:r>
      <w:r>
        <w:rPr>
          <w:sz w:val="20"/>
          <w:szCs w:val="20"/>
        </w:rPr>
        <w:t>our child(ren) to Saint Bernard Catholic School!</w:t>
      </w:r>
      <w:r w:rsidRPr="00561D33">
        <w:rPr>
          <w:sz w:val="20"/>
          <w:szCs w:val="20"/>
        </w:rPr>
        <w:t xml:space="preserve">  </w:t>
      </w:r>
      <w:r>
        <w:rPr>
          <w:sz w:val="20"/>
          <w:szCs w:val="20"/>
        </w:rPr>
        <w:t>At Saint Bernard, our mission is to educate the whole child to serve the world as a responsible Christian.  In doing so, we foster not only intellectual growth, but spiritual and emotional growth as well.  Our tuition rates are based on what we need to meet</w:t>
      </w:r>
      <w:r w:rsidRPr="00561D33">
        <w:rPr>
          <w:sz w:val="20"/>
          <w:szCs w:val="20"/>
        </w:rPr>
        <w:t xml:space="preserve"> our financial obligations and provide </w:t>
      </w:r>
      <w:r>
        <w:rPr>
          <w:sz w:val="20"/>
          <w:szCs w:val="20"/>
        </w:rPr>
        <w:t>your child</w:t>
      </w:r>
      <w:r w:rsidRPr="00561D33">
        <w:rPr>
          <w:sz w:val="20"/>
          <w:szCs w:val="20"/>
        </w:rPr>
        <w:t xml:space="preserve"> wit</w:t>
      </w:r>
      <w:r>
        <w:rPr>
          <w:sz w:val="20"/>
          <w:szCs w:val="20"/>
        </w:rPr>
        <w:t xml:space="preserve">h the best possible education. </w:t>
      </w:r>
    </w:p>
    <w:p w14:paraId="49C72379" w14:textId="77777777" w:rsidR="00572A37" w:rsidRPr="004B5003" w:rsidRDefault="00572A37" w:rsidP="00572A37">
      <w:pPr>
        <w:rPr>
          <w:sz w:val="16"/>
          <w:szCs w:val="16"/>
        </w:rPr>
      </w:pPr>
    </w:p>
    <w:p w14:paraId="77A8A7B4" w14:textId="77777777" w:rsidR="00572A37" w:rsidRPr="00CA73DE" w:rsidRDefault="00572A37" w:rsidP="00572A37">
      <w:pPr>
        <w:rPr>
          <w:b/>
          <w:smallCaps/>
          <w:szCs w:val="20"/>
          <w:u w:val="single"/>
        </w:rPr>
      </w:pPr>
      <w:bookmarkStart w:id="0" w:name="_GoBack"/>
      <w:r w:rsidRPr="00CA73DE">
        <w:rPr>
          <w:b/>
          <w:smallCaps/>
          <w:szCs w:val="20"/>
          <w:u w:val="single"/>
        </w:rPr>
        <w:t>Tuition rates:</w:t>
      </w:r>
    </w:p>
    <w:bookmarkEnd w:id="0"/>
    <w:p w14:paraId="1C36A0ED" w14:textId="77777777" w:rsidR="00572A37" w:rsidRPr="00683635" w:rsidRDefault="00572A37" w:rsidP="00572A37">
      <w:pPr>
        <w:rPr>
          <w:b/>
          <w:sz w:val="10"/>
          <w:szCs w:val="10"/>
        </w:rPr>
      </w:pPr>
    </w:p>
    <w:p w14:paraId="76C85360" w14:textId="77777777" w:rsidR="00572A37" w:rsidRPr="00506F02" w:rsidRDefault="00572A37" w:rsidP="00572A37">
      <w:pPr>
        <w:rPr>
          <w:sz w:val="20"/>
          <w:szCs w:val="20"/>
        </w:rPr>
      </w:pPr>
      <w:r>
        <w:rPr>
          <w:sz w:val="20"/>
          <w:szCs w:val="20"/>
        </w:rPr>
        <w:t>The tuition rate for a family is based on 1) the number of children enrolled and 2) whether or not the family is parish-sponsored.  To receive the parish-s</w:t>
      </w:r>
      <w:r w:rsidRPr="00206686">
        <w:rPr>
          <w:sz w:val="20"/>
          <w:szCs w:val="20"/>
        </w:rPr>
        <w:t xml:space="preserve">ponsored rate, </w:t>
      </w:r>
      <w:r>
        <w:rPr>
          <w:sz w:val="20"/>
          <w:szCs w:val="20"/>
        </w:rPr>
        <w:t>a family</w:t>
      </w:r>
      <w:r w:rsidRPr="00206686">
        <w:rPr>
          <w:sz w:val="20"/>
          <w:szCs w:val="20"/>
        </w:rPr>
        <w:t xml:space="preserve"> must be </w:t>
      </w:r>
      <w:r>
        <w:rPr>
          <w:sz w:val="20"/>
          <w:szCs w:val="20"/>
        </w:rPr>
        <w:t>an active member</w:t>
      </w:r>
      <w:r w:rsidRPr="00206686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Saint Bernard, Saint Martin,</w:t>
      </w:r>
      <w:r w:rsidRPr="00206686">
        <w:rPr>
          <w:sz w:val="20"/>
          <w:szCs w:val="20"/>
        </w:rPr>
        <w:t xml:space="preserve"> Saint Nicholas</w:t>
      </w:r>
      <w:r>
        <w:rPr>
          <w:sz w:val="20"/>
          <w:szCs w:val="20"/>
        </w:rPr>
        <w:t xml:space="preserve"> or Saint Joseph Catholic Church</w:t>
      </w:r>
      <w:r w:rsidRPr="00206686">
        <w:rPr>
          <w:sz w:val="20"/>
          <w:szCs w:val="20"/>
        </w:rPr>
        <w:t>.</w:t>
      </w:r>
      <w:r>
        <w:rPr>
          <w:sz w:val="20"/>
          <w:szCs w:val="20"/>
        </w:rPr>
        <w:t xml:space="preserve">  Active membership is determined by the priest of the respective parish.</w:t>
      </w:r>
    </w:p>
    <w:p w14:paraId="7E337B50" w14:textId="77777777" w:rsidR="00572A37" w:rsidRPr="004B5003" w:rsidRDefault="00572A37" w:rsidP="00572A37">
      <w:pPr>
        <w:rPr>
          <w:b/>
          <w:sz w:val="16"/>
          <w:szCs w:val="16"/>
          <w:u w:val="single"/>
        </w:rPr>
      </w:pPr>
    </w:p>
    <w:tbl>
      <w:tblPr>
        <w:tblW w:w="9182" w:type="dxa"/>
        <w:jc w:val="center"/>
        <w:tblLook w:val="04A0" w:firstRow="1" w:lastRow="0" w:firstColumn="1" w:lastColumn="0" w:noHBand="0" w:noVBand="1"/>
      </w:tblPr>
      <w:tblGrid>
        <w:gridCol w:w="2951"/>
        <w:gridCol w:w="766"/>
        <w:gridCol w:w="766"/>
        <w:gridCol w:w="766"/>
        <w:gridCol w:w="769"/>
        <w:gridCol w:w="766"/>
        <w:gridCol w:w="766"/>
        <w:gridCol w:w="766"/>
        <w:gridCol w:w="866"/>
      </w:tblGrid>
      <w:tr w:rsidR="00572A37" w14:paraId="6BE542F3" w14:textId="77777777" w:rsidTr="00A66360">
        <w:trPr>
          <w:trHeight w:val="300"/>
          <w:jc w:val="center"/>
        </w:trPr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CCCC"/>
            <w:vAlign w:val="center"/>
            <w:hideMark/>
          </w:tcPr>
          <w:p w14:paraId="180EAC91" w14:textId="77777777" w:rsidR="00572A37" w:rsidRDefault="00572A37" w:rsidP="000F01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CCCC"/>
            <w:vAlign w:val="center"/>
            <w:hideMark/>
          </w:tcPr>
          <w:p w14:paraId="05FEFDF0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CCC"/>
            <w:vAlign w:val="center"/>
            <w:hideMark/>
          </w:tcPr>
          <w:p w14:paraId="226089B3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CCC"/>
            <w:vAlign w:val="center"/>
            <w:hideMark/>
          </w:tcPr>
          <w:p w14:paraId="6C8F63A1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CCC"/>
            <w:vAlign w:val="center"/>
            <w:hideMark/>
          </w:tcPr>
          <w:p w14:paraId="53EDFBE4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72A37" w14:paraId="05DD85D3" w14:textId="77777777" w:rsidTr="003F1F80">
        <w:trPr>
          <w:trHeight w:val="503"/>
          <w:jc w:val="center"/>
        </w:trPr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65E69" w14:textId="25B05F53" w:rsidR="00572A37" w:rsidRDefault="00572A37" w:rsidP="000F01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Parish-Sponsored/Non-Parishioner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EFC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CB7F0C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</w:t>
            </w:r>
          </w:p>
        </w:tc>
        <w:tc>
          <w:tcPr>
            <w:tcW w:w="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D5C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CE4FA2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</w:t>
            </w:r>
          </w:p>
        </w:tc>
        <w:tc>
          <w:tcPr>
            <w:tcW w:w="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D232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798190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</w:t>
            </w:r>
          </w:p>
        </w:tc>
        <w:tc>
          <w:tcPr>
            <w:tcW w:w="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A09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956201" w14:textId="77777777" w:rsidR="00572A37" w:rsidRDefault="00572A37" w:rsidP="000F0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</w:t>
            </w:r>
          </w:p>
        </w:tc>
      </w:tr>
      <w:tr w:rsidR="00572A37" w14:paraId="3238547F" w14:textId="77777777" w:rsidTr="003F1F80">
        <w:trPr>
          <w:trHeight w:val="300"/>
          <w:jc w:val="center"/>
        </w:trPr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63B1BE" w14:textId="77777777" w:rsidR="00572A37" w:rsidRDefault="00572A37" w:rsidP="000F01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Tuition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8170" w14:textId="44049FBB" w:rsidR="00572A37" w:rsidRPr="000B1BF0" w:rsidRDefault="00572A37" w:rsidP="000F0142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107D63">
              <w:rPr>
                <w:color w:val="000000"/>
                <w:sz w:val="20"/>
                <w:szCs w:val="20"/>
              </w:rPr>
              <w:t>$2</w:t>
            </w:r>
            <w:r w:rsidR="00234E1C">
              <w:rPr>
                <w:color w:val="000000"/>
                <w:sz w:val="20"/>
                <w:szCs w:val="20"/>
              </w:rPr>
              <w:t>,</w:t>
            </w:r>
            <w:r w:rsidR="00444818" w:rsidRPr="00107D6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C0A777" w14:textId="0070B403" w:rsidR="00572A37" w:rsidRPr="000B1BF0" w:rsidRDefault="00107D63" w:rsidP="000F0142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107D63">
              <w:rPr>
                <w:color w:val="000000"/>
                <w:sz w:val="20"/>
                <w:szCs w:val="20"/>
              </w:rPr>
              <w:t>$4</w:t>
            </w:r>
            <w:r w:rsidR="00234E1C">
              <w:rPr>
                <w:color w:val="000000"/>
                <w:sz w:val="20"/>
                <w:szCs w:val="20"/>
              </w:rPr>
              <w:t>,</w:t>
            </w:r>
            <w:r w:rsidRPr="00107D63">
              <w:rPr>
                <w:color w:val="000000"/>
                <w:sz w:val="20"/>
                <w:szCs w:val="20"/>
              </w:rPr>
              <w:t>290</w:t>
            </w:r>
            <w:r w:rsidR="00572A37" w:rsidRPr="00107D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AC9" w14:textId="5EB66033" w:rsidR="00572A37" w:rsidRPr="000B1BF0" w:rsidRDefault="00572A37" w:rsidP="000F0142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107D63">
              <w:rPr>
                <w:color w:val="000000"/>
                <w:sz w:val="20"/>
                <w:szCs w:val="20"/>
              </w:rPr>
              <w:t>$</w:t>
            </w:r>
            <w:r w:rsidR="00107D63" w:rsidRPr="00107D63">
              <w:rPr>
                <w:color w:val="000000"/>
                <w:sz w:val="20"/>
                <w:szCs w:val="20"/>
              </w:rPr>
              <w:t>4,146</w:t>
            </w:r>
            <w:r w:rsidRPr="00107D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72D098" w14:textId="78A70AFD" w:rsidR="00572A37" w:rsidRPr="000B1BF0" w:rsidRDefault="00F743F4" w:rsidP="000F0142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234E1C">
              <w:rPr>
                <w:color w:val="000000"/>
                <w:sz w:val="20"/>
                <w:szCs w:val="20"/>
              </w:rPr>
              <w:t>$6,438</w:t>
            </w:r>
            <w:r w:rsidR="00572A37" w:rsidRPr="00234E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D50" w14:textId="54A91E7A" w:rsidR="00572A37" w:rsidRPr="004127CA" w:rsidRDefault="00234E1C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127CA">
              <w:rPr>
                <w:color w:val="000000"/>
                <w:sz w:val="20"/>
                <w:szCs w:val="20"/>
              </w:rPr>
              <w:t>$5,562</w:t>
            </w:r>
            <w:r w:rsidR="00572A37" w:rsidRPr="004127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C2496" w14:textId="2E164CA9" w:rsidR="00572A37" w:rsidRPr="000B1BF0" w:rsidRDefault="00572A37" w:rsidP="000F0142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A66360">
              <w:rPr>
                <w:color w:val="000000"/>
                <w:sz w:val="20"/>
                <w:szCs w:val="20"/>
              </w:rPr>
              <w:t>$</w:t>
            </w:r>
            <w:r w:rsidR="00A66360" w:rsidRPr="00A66360">
              <w:rPr>
                <w:color w:val="000000"/>
                <w:sz w:val="20"/>
                <w:szCs w:val="20"/>
              </w:rPr>
              <w:t>8,586</w:t>
            </w:r>
            <w:r w:rsidRPr="00A663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761F" w14:textId="7DC7E42E" w:rsidR="00572A37" w:rsidRPr="000B1BF0" w:rsidRDefault="00572A37" w:rsidP="000F0142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571E51">
              <w:rPr>
                <w:color w:val="000000"/>
                <w:sz w:val="20"/>
                <w:szCs w:val="20"/>
              </w:rPr>
              <w:t>$</w:t>
            </w:r>
            <w:r w:rsidR="003F1F80" w:rsidRPr="00571E51">
              <w:rPr>
                <w:color w:val="000000"/>
                <w:sz w:val="20"/>
                <w:szCs w:val="20"/>
              </w:rPr>
              <w:t>6,540</w:t>
            </w:r>
            <w:r w:rsidRPr="00571E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43EC1" w14:textId="0E7B8030" w:rsidR="00572A37" w:rsidRPr="000B1BF0" w:rsidRDefault="00571E51" w:rsidP="000F0142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042E8">
              <w:rPr>
                <w:color w:val="000000"/>
                <w:sz w:val="20"/>
                <w:szCs w:val="20"/>
              </w:rPr>
              <w:t>$10,020</w:t>
            </w:r>
            <w:r w:rsidR="00572A37" w:rsidRPr="00B042E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72A37" w14:paraId="5F90B09D" w14:textId="77777777" w:rsidTr="003F1F80">
        <w:trPr>
          <w:trHeight w:val="315"/>
          <w:jc w:val="center"/>
        </w:trPr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0E5292" w14:textId="77777777" w:rsidR="00572A37" w:rsidRPr="004B5003" w:rsidRDefault="00572A37" w:rsidP="000F0142">
            <w:pPr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Textbook Fee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AFC" w14:textId="77777777" w:rsidR="00572A37" w:rsidRPr="004B5003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B50E7B" w14:textId="77777777" w:rsidR="00572A37" w:rsidRPr="004B5003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64F8" w14:textId="77777777" w:rsidR="00572A37" w:rsidRPr="004B5003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A3413C" w14:textId="77777777" w:rsidR="00572A37" w:rsidRPr="004B5003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44B0" w14:textId="77777777" w:rsidR="00572A37" w:rsidRPr="004B5003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$450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9B5A8" w14:textId="77777777" w:rsidR="00572A37" w:rsidRPr="004B5003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$450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DD4" w14:textId="77777777" w:rsidR="00572A37" w:rsidRPr="004B5003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$600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115904" w14:textId="77777777" w:rsidR="00572A37" w:rsidRPr="004B5003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$600</w:t>
            </w:r>
          </w:p>
        </w:tc>
      </w:tr>
      <w:tr w:rsidR="00572A37" w14:paraId="33D8C399" w14:textId="77777777" w:rsidTr="003F1F80">
        <w:trPr>
          <w:trHeight w:val="315"/>
          <w:jc w:val="center"/>
        </w:trPr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45FC9" w14:textId="77777777" w:rsidR="00572A37" w:rsidRDefault="00572A37" w:rsidP="000F01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Technology Fee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951" w14:textId="66D47E8F" w:rsidR="00572A37" w:rsidRPr="004979F1" w:rsidRDefault="00A8525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979F1">
              <w:rPr>
                <w:color w:val="000000"/>
                <w:sz w:val="20"/>
                <w:szCs w:val="20"/>
              </w:rPr>
              <w:t>$175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9BCFD" w14:textId="6F7D5263" w:rsidR="00572A37" w:rsidRPr="004979F1" w:rsidRDefault="00A8525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979F1">
              <w:rPr>
                <w:color w:val="000000"/>
                <w:sz w:val="20"/>
                <w:szCs w:val="20"/>
              </w:rPr>
              <w:t>$175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2853" w14:textId="4F822A5F" w:rsidR="00572A37" w:rsidRPr="004979F1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979F1">
              <w:rPr>
                <w:color w:val="000000"/>
                <w:sz w:val="20"/>
                <w:szCs w:val="20"/>
              </w:rPr>
              <w:t>$</w:t>
            </w:r>
            <w:r w:rsidR="00A85257" w:rsidRPr="004979F1">
              <w:rPr>
                <w:color w:val="000000"/>
                <w:sz w:val="20"/>
                <w:szCs w:val="20"/>
              </w:rPr>
              <w:t>35</w:t>
            </w:r>
            <w:r w:rsidRPr="004979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BE000" w14:textId="539B7B30" w:rsidR="00572A37" w:rsidRPr="004979F1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979F1">
              <w:rPr>
                <w:color w:val="000000"/>
                <w:sz w:val="20"/>
                <w:szCs w:val="20"/>
              </w:rPr>
              <w:t>$</w:t>
            </w:r>
            <w:r w:rsidR="00A85257" w:rsidRPr="004979F1">
              <w:rPr>
                <w:color w:val="000000"/>
                <w:sz w:val="20"/>
                <w:szCs w:val="20"/>
              </w:rPr>
              <w:t>35</w:t>
            </w:r>
            <w:r w:rsidRPr="004979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6EA" w14:textId="2B61F356" w:rsidR="00572A37" w:rsidRPr="004979F1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979F1">
              <w:rPr>
                <w:color w:val="000000"/>
                <w:sz w:val="20"/>
                <w:szCs w:val="20"/>
              </w:rPr>
              <w:t>$</w:t>
            </w:r>
            <w:r w:rsidR="004B5003" w:rsidRPr="004979F1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C0CAC" w14:textId="07C091D7" w:rsidR="00572A37" w:rsidRPr="004979F1" w:rsidRDefault="004B5003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979F1">
              <w:rPr>
                <w:color w:val="000000"/>
                <w:sz w:val="20"/>
                <w:szCs w:val="20"/>
              </w:rPr>
              <w:t>$525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0F22" w14:textId="138D1536" w:rsidR="00572A37" w:rsidRPr="004979F1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979F1">
              <w:rPr>
                <w:color w:val="000000"/>
                <w:sz w:val="20"/>
                <w:szCs w:val="20"/>
              </w:rPr>
              <w:t>$</w:t>
            </w:r>
            <w:r w:rsidR="004B5003" w:rsidRPr="004979F1">
              <w:rPr>
                <w:color w:val="000000"/>
                <w:sz w:val="20"/>
                <w:szCs w:val="20"/>
              </w:rPr>
              <w:t>7</w:t>
            </w:r>
            <w:r w:rsidRPr="004979F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44D5E" w14:textId="3781F550" w:rsidR="00572A37" w:rsidRPr="004979F1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979F1">
              <w:rPr>
                <w:color w:val="000000"/>
                <w:sz w:val="20"/>
                <w:szCs w:val="20"/>
              </w:rPr>
              <w:t>$</w:t>
            </w:r>
            <w:r w:rsidR="004B5003" w:rsidRPr="004979F1">
              <w:rPr>
                <w:color w:val="000000"/>
                <w:sz w:val="20"/>
                <w:szCs w:val="20"/>
              </w:rPr>
              <w:t>7</w:t>
            </w:r>
            <w:r w:rsidRPr="00497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91318" w14:paraId="102111B2" w14:textId="77777777" w:rsidTr="003F1F80">
        <w:trPr>
          <w:trHeight w:val="315"/>
          <w:jc w:val="center"/>
        </w:trPr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D8463" w14:textId="4BB065A7" w:rsidR="00C91318" w:rsidRPr="004B5003" w:rsidRDefault="004B5003" w:rsidP="000F0142">
            <w:pPr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Bus Fee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9A7" w14:textId="4938927B" w:rsidR="00C91318" w:rsidRPr="004B5003" w:rsidRDefault="004B5003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9B4A4" w14:textId="1A585838" w:rsidR="00C91318" w:rsidRPr="004B5003" w:rsidRDefault="004B5003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E3D9" w14:textId="4A3D2686" w:rsidR="00C91318" w:rsidRPr="004B5003" w:rsidRDefault="004B5003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8E7BB" w14:textId="26FBB5C7" w:rsidR="00C91318" w:rsidRPr="004B5003" w:rsidRDefault="004B5003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B9FD" w14:textId="217957A1" w:rsidR="00C91318" w:rsidRPr="004B5003" w:rsidRDefault="004B5003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FC92" w14:textId="47238824" w:rsidR="00C91318" w:rsidRPr="004B5003" w:rsidRDefault="004B5003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8D3" w14:textId="392A9FF3" w:rsidR="00C91318" w:rsidRPr="004B5003" w:rsidRDefault="004B5003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DB40C" w14:textId="33470312" w:rsidR="00C91318" w:rsidRPr="004B5003" w:rsidRDefault="004B5003" w:rsidP="000F0142">
            <w:pPr>
              <w:jc w:val="right"/>
              <w:rPr>
                <w:color w:val="000000"/>
                <w:sz w:val="20"/>
                <w:szCs w:val="20"/>
              </w:rPr>
            </w:pPr>
            <w:r w:rsidRPr="004B5003">
              <w:rPr>
                <w:color w:val="000000"/>
                <w:sz w:val="20"/>
                <w:szCs w:val="20"/>
              </w:rPr>
              <w:t>$40</w:t>
            </w:r>
          </w:p>
        </w:tc>
      </w:tr>
      <w:tr w:rsidR="00572A37" w14:paraId="1302803B" w14:textId="77777777" w:rsidTr="003F1F80">
        <w:trPr>
          <w:trHeight w:val="358"/>
          <w:jc w:val="center"/>
        </w:trPr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A41E" w14:textId="77777777" w:rsidR="00572A37" w:rsidRDefault="00572A37" w:rsidP="000F01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Scrip Fee (per family)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DD15" w14:textId="77777777" w:rsidR="00572A37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61B5C" w14:textId="77777777" w:rsidR="00572A37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831F" w14:textId="77777777" w:rsidR="00572A37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71461" w14:textId="77777777" w:rsidR="00572A37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9818" w14:textId="77777777" w:rsidR="00572A37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895CE" w14:textId="77777777" w:rsidR="00572A37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C572" w14:textId="77777777" w:rsidR="00572A37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E766F" w14:textId="77777777" w:rsidR="00572A37" w:rsidRDefault="00572A37" w:rsidP="000F01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$200</w:t>
            </w:r>
          </w:p>
        </w:tc>
      </w:tr>
      <w:tr w:rsidR="00572A37" w14:paraId="60E08FBB" w14:textId="77777777" w:rsidTr="003F1F80">
        <w:trPr>
          <w:trHeight w:val="315"/>
          <w:jc w:val="center"/>
        </w:trPr>
        <w:tc>
          <w:tcPr>
            <w:tcW w:w="2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1FE0D4E" w14:textId="77777777" w:rsidR="00572A37" w:rsidRDefault="00572A37" w:rsidP="000F01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Due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15A2D" w14:textId="0EAF6FDF" w:rsidR="00572A37" w:rsidRDefault="00444818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$3,265</w:t>
            </w:r>
            <w:r w:rsidR="00572A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DFD5F51" w14:textId="6C6C66B1" w:rsidR="00572A37" w:rsidRDefault="00572A37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$4,</w:t>
            </w:r>
            <w:r w:rsidR="00107D63">
              <w:rPr>
                <w:b/>
                <w:bCs/>
                <w:color w:val="000000"/>
                <w:sz w:val="20"/>
                <w:szCs w:val="20"/>
              </w:rPr>
              <w:t>825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E80A5" w14:textId="4CE90AAE" w:rsidR="00572A37" w:rsidRDefault="00107D63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$5,016</w:t>
            </w:r>
            <w:r w:rsidR="00572A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4D9E1BA" w14:textId="302D4123" w:rsidR="00572A37" w:rsidRDefault="00CE6878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$7,308</w:t>
            </w:r>
            <w:r w:rsidR="00572A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587B8" w14:textId="4D061FEA" w:rsidR="00572A37" w:rsidRDefault="00234E1C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$6,767</w:t>
            </w:r>
            <w:r w:rsidR="00572A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0246DF1" w14:textId="57F9E154" w:rsidR="00572A37" w:rsidRDefault="00A66360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$9,791</w:t>
            </w:r>
            <w:r w:rsidR="00572A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A970E" w14:textId="43E0EE38" w:rsidR="00572A37" w:rsidRDefault="00572A37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3F1F80">
              <w:rPr>
                <w:b/>
                <w:bCs/>
                <w:color w:val="000000"/>
                <w:sz w:val="20"/>
                <w:szCs w:val="20"/>
              </w:rPr>
              <w:t>8,080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5A1F27D" w14:textId="16C68276" w:rsidR="00572A37" w:rsidRDefault="00571E51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$11,560</w:t>
            </w:r>
            <w:r w:rsidR="00572A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6E2B" w14:paraId="537D85FD" w14:textId="77777777" w:rsidTr="003F1F80">
        <w:trPr>
          <w:trHeight w:val="315"/>
          <w:jc w:val="center"/>
        </w:trPr>
        <w:tc>
          <w:tcPr>
            <w:tcW w:w="2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1F6EF8C" w14:textId="77777777" w:rsidR="00572A37" w:rsidRDefault="00572A37" w:rsidP="000F01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Cost per child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095F1" w14:textId="3A7D0C96" w:rsidR="00572A37" w:rsidRDefault="00572A37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$3</w:t>
            </w:r>
            <w:r w:rsidR="00444818">
              <w:rPr>
                <w:b/>
                <w:bCs/>
                <w:color w:val="000000"/>
                <w:sz w:val="20"/>
                <w:szCs w:val="20"/>
              </w:rPr>
              <w:t>,265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3950E59" w14:textId="21420CD2" w:rsidR="00572A37" w:rsidRDefault="00572A37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$4,</w:t>
            </w:r>
            <w:r w:rsidR="00107D63">
              <w:rPr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45754" w14:textId="12EB9F6E" w:rsidR="00572A37" w:rsidRDefault="00107D63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$2,508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6A71A0A" w14:textId="47635C8B" w:rsidR="00572A37" w:rsidRDefault="00572A37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$3</w:t>
            </w:r>
            <w:r w:rsidR="00F743F4">
              <w:rPr>
                <w:b/>
                <w:bCs/>
                <w:color w:val="000000"/>
                <w:sz w:val="20"/>
                <w:szCs w:val="20"/>
              </w:rPr>
              <w:t>,654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EDA62" w14:textId="04E443AB" w:rsidR="00572A37" w:rsidRDefault="00234E1C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$2,256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02CB8E4" w14:textId="77777777" w:rsidR="00572A37" w:rsidRDefault="00572A37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$3,049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DF41E" w14:textId="3D46D97C" w:rsidR="00572A37" w:rsidRDefault="003F1F80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$2,020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84B1550" w14:textId="7F33C839" w:rsidR="00572A37" w:rsidRDefault="00571E51" w:rsidP="000F01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$2,890</w:t>
            </w:r>
          </w:p>
        </w:tc>
      </w:tr>
    </w:tbl>
    <w:p w14:paraId="1B951275" w14:textId="77777777" w:rsidR="00571E51" w:rsidRDefault="00571E51" w:rsidP="00571E51">
      <w:pPr>
        <w:pStyle w:val="ListParagraph"/>
        <w:rPr>
          <w:i/>
          <w:sz w:val="20"/>
          <w:szCs w:val="20"/>
        </w:rPr>
      </w:pPr>
    </w:p>
    <w:p w14:paraId="78EBFFB0" w14:textId="77777777" w:rsidR="00572A37" w:rsidRPr="004B5003" w:rsidRDefault="00572A37" w:rsidP="004B5003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4B5003">
        <w:rPr>
          <w:i/>
          <w:sz w:val="20"/>
          <w:szCs w:val="20"/>
        </w:rPr>
        <w:t xml:space="preserve">Parishes fund the balance of the cost of education for each child.  The actual cost of educating one child at Saint Bernard during the 2016-17 school year was $6543.85. </w:t>
      </w:r>
    </w:p>
    <w:p w14:paraId="10BCF13C" w14:textId="7807A6EC" w:rsidR="00572A37" w:rsidRDefault="00572A37" w:rsidP="00572A37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A927C6">
        <w:rPr>
          <w:i/>
          <w:sz w:val="20"/>
          <w:szCs w:val="20"/>
        </w:rPr>
        <w:t>T</w:t>
      </w:r>
      <w:r w:rsidR="004B5003">
        <w:rPr>
          <w:i/>
          <w:sz w:val="20"/>
          <w:szCs w:val="20"/>
        </w:rPr>
        <w:t>uition increased $1</w:t>
      </w:r>
      <w:r w:rsidRPr="00A927C6">
        <w:rPr>
          <w:i/>
          <w:sz w:val="20"/>
          <w:szCs w:val="20"/>
        </w:rPr>
        <w:t>.00/da</w:t>
      </w:r>
      <w:r w:rsidR="004B5003">
        <w:rPr>
          <w:i/>
          <w:sz w:val="20"/>
          <w:szCs w:val="20"/>
        </w:rPr>
        <w:t>y</w:t>
      </w:r>
      <w:r w:rsidR="00AA6857">
        <w:rPr>
          <w:i/>
          <w:sz w:val="20"/>
          <w:szCs w:val="20"/>
        </w:rPr>
        <w:t>/child</w:t>
      </w:r>
      <w:r w:rsidR="004B5003">
        <w:rPr>
          <w:i/>
          <w:sz w:val="20"/>
          <w:szCs w:val="20"/>
        </w:rPr>
        <w:t xml:space="preserve"> for parishioners and</w:t>
      </w:r>
      <w:r w:rsidRPr="00A927C6">
        <w:rPr>
          <w:i/>
          <w:sz w:val="20"/>
          <w:szCs w:val="20"/>
        </w:rPr>
        <w:t xml:space="preserve"> for non-parishioners.</w:t>
      </w:r>
      <w:r w:rsidR="004979F1">
        <w:rPr>
          <w:i/>
          <w:sz w:val="20"/>
          <w:szCs w:val="20"/>
        </w:rPr>
        <w:t xml:space="preserve">  The </w:t>
      </w:r>
      <w:r w:rsidR="00AA6857">
        <w:rPr>
          <w:i/>
          <w:sz w:val="20"/>
          <w:szCs w:val="20"/>
        </w:rPr>
        <w:t>tech fee increased by $25/child</w:t>
      </w:r>
      <w:r w:rsidR="00444818">
        <w:rPr>
          <w:i/>
          <w:sz w:val="20"/>
          <w:szCs w:val="20"/>
        </w:rPr>
        <w:t>.</w:t>
      </w:r>
      <w:r w:rsidR="004B5003">
        <w:rPr>
          <w:i/>
          <w:sz w:val="20"/>
          <w:szCs w:val="20"/>
        </w:rPr>
        <w:t xml:space="preserve"> </w:t>
      </w:r>
    </w:p>
    <w:p w14:paraId="685870A6" w14:textId="2C43BB79" w:rsidR="004B5003" w:rsidRDefault="004B5003" w:rsidP="00572A37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 $10/child bus fee is to cover expenses for taking children to and from the Rockport City Library.</w:t>
      </w:r>
    </w:p>
    <w:p w14:paraId="77F8F4A8" w14:textId="29276B9F" w:rsidR="004B5003" w:rsidRPr="00A927C6" w:rsidRDefault="004B5003" w:rsidP="00572A37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There is an additional $300/family bus fee for families whose children ride St. Bernard Bus 1 in the mornings and afternoons.</w:t>
      </w:r>
    </w:p>
    <w:p w14:paraId="40F1CB60" w14:textId="77777777" w:rsidR="00571E51" w:rsidRDefault="00571E51" w:rsidP="00572A37">
      <w:pPr>
        <w:rPr>
          <w:b/>
          <w:sz w:val="10"/>
          <w:szCs w:val="10"/>
          <w:u w:val="single"/>
        </w:rPr>
      </w:pPr>
    </w:p>
    <w:p w14:paraId="1713F68C" w14:textId="77777777" w:rsidR="00571E51" w:rsidRDefault="00571E51" w:rsidP="00572A37">
      <w:pPr>
        <w:rPr>
          <w:b/>
          <w:sz w:val="10"/>
          <w:szCs w:val="10"/>
          <w:u w:val="single"/>
        </w:rPr>
      </w:pPr>
    </w:p>
    <w:p w14:paraId="06BF8AD9" w14:textId="77777777" w:rsidR="00572A37" w:rsidRPr="00CA73DE" w:rsidRDefault="00572A37" w:rsidP="00572A37">
      <w:pPr>
        <w:rPr>
          <w:b/>
          <w:smallCaps/>
          <w:szCs w:val="20"/>
        </w:rPr>
      </w:pPr>
      <w:r w:rsidRPr="00CA73DE">
        <w:rPr>
          <w:b/>
          <w:smallCaps/>
          <w:szCs w:val="20"/>
          <w:u w:val="single"/>
        </w:rPr>
        <w:t>Payment options:</w:t>
      </w:r>
    </w:p>
    <w:p w14:paraId="7D3E49E5" w14:textId="77777777" w:rsidR="00572A37" w:rsidRPr="00683635" w:rsidRDefault="00572A37" w:rsidP="00572A37">
      <w:pPr>
        <w:rPr>
          <w:sz w:val="10"/>
          <w:szCs w:val="10"/>
          <w:u w:val="single"/>
        </w:rPr>
      </w:pPr>
    </w:p>
    <w:p w14:paraId="59A5D6B1" w14:textId="77777777" w:rsidR="00572A37" w:rsidRDefault="00572A37" w:rsidP="00571E5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Payments may be made by cash, check, or debit/credit card.</w:t>
      </w:r>
      <w:r w:rsidRPr="00206686">
        <w:rPr>
          <w:sz w:val="20"/>
          <w:szCs w:val="20"/>
        </w:rPr>
        <w:tab/>
      </w:r>
    </w:p>
    <w:p w14:paraId="4A2A31EC" w14:textId="37DC8655" w:rsidR="00572A37" w:rsidRDefault="00572A37" w:rsidP="00571E51">
      <w:pPr>
        <w:numPr>
          <w:ilvl w:val="0"/>
          <w:numId w:val="2"/>
        </w:numPr>
        <w:rPr>
          <w:sz w:val="20"/>
          <w:szCs w:val="20"/>
        </w:rPr>
      </w:pPr>
      <w:r w:rsidRPr="00206686">
        <w:rPr>
          <w:sz w:val="20"/>
          <w:szCs w:val="20"/>
        </w:rPr>
        <w:t xml:space="preserve">Saint Bernard offers </w:t>
      </w:r>
      <w:r>
        <w:rPr>
          <w:sz w:val="20"/>
          <w:szCs w:val="20"/>
        </w:rPr>
        <w:t>multiple</w:t>
      </w:r>
      <w:r w:rsidRPr="00206686">
        <w:rPr>
          <w:sz w:val="20"/>
          <w:szCs w:val="20"/>
        </w:rPr>
        <w:t xml:space="preserve"> payment </w:t>
      </w:r>
      <w:r w:rsidR="003F1F80">
        <w:rPr>
          <w:sz w:val="20"/>
          <w:szCs w:val="20"/>
        </w:rPr>
        <w:t>pla</w:t>
      </w:r>
      <w:r w:rsidR="00571E51">
        <w:rPr>
          <w:sz w:val="20"/>
          <w:szCs w:val="20"/>
        </w:rPr>
        <w:t>ns:</w:t>
      </w:r>
    </w:p>
    <w:p w14:paraId="4FC9FA9B" w14:textId="17FB8A28" w:rsidR="00572A37" w:rsidRDefault="00572A37" w:rsidP="00571E5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Option 1 – Payment in full (There is a 2% discount i</w:t>
      </w:r>
      <w:r w:rsidR="00056853">
        <w:rPr>
          <w:sz w:val="20"/>
          <w:szCs w:val="20"/>
        </w:rPr>
        <w:t>f paid in full by August 1, 2018</w:t>
      </w:r>
      <w:r>
        <w:rPr>
          <w:sz w:val="20"/>
          <w:szCs w:val="20"/>
        </w:rPr>
        <w:t>.)</w:t>
      </w:r>
    </w:p>
    <w:p w14:paraId="129FFE47" w14:textId="0DB40C93" w:rsidR="00572A37" w:rsidRDefault="00572A37" w:rsidP="00571E51">
      <w:pPr>
        <w:numPr>
          <w:ilvl w:val="1"/>
          <w:numId w:val="2"/>
        </w:numPr>
        <w:rPr>
          <w:sz w:val="20"/>
          <w:szCs w:val="20"/>
        </w:rPr>
      </w:pPr>
      <w:r w:rsidRPr="00206686">
        <w:rPr>
          <w:sz w:val="20"/>
          <w:szCs w:val="20"/>
        </w:rPr>
        <w:t xml:space="preserve">Option </w:t>
      </w:r>
      <w:r w:rsidR="00056853">
        <w:rPr>
          <w:sz w:val="20"/>
          <w:szCs w:val="20"/>
        </w:rPr>
        <w:t>2 – Ten monthly payments—A</w:t>
      </w:r>
      <w:r>
        <w:rPr>
          <w:sz w:val="20"/>
          <w:szCs w:val="20"/>
        </w:rPr>
        <w:t xml:space="preserve">ugust through May </w:t>
      </w:r>
    </w:p>
    <w:p w14:paraId="1EEAA7D6" w14:textId="77777777" w:rsidR="00572A37" w:rsidRDefault="00572A37" w:rsidP="00571E5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Other options, such as quarterly or semi-annual payments, may be arranged on a case-by-case basis.</w:t>
      </w:r>
    </w:p>
    <w:p w14:paraId="2B357F81" w14:textId="77777777" w:rsidR="00572A37" w:rsidRPr="00CA73DE" w:rsidRDefault="00572A37" w:rsidP="00571E5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Automatic payments, either by credit card or automatic deduction from a checking or savings account, are easily arranged and are highly recommended.</w:t>
      </w:r>
    </w:p>
    <w:p w14:paraId="3E694BA2" w14:textId="77777777" w:rsidR="00572A37" w:rsidRDefault="00572A37" w:rsidP="00572A37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5FD8" wp14:editId="2231B8C3">
                <wp:simplePos x="0" y="0"/>
                <wp:positionH relativeFrom="column">
                  <wp:posOffset>88900</wp:posOffset>
                </wp:positionH>
                <wp:positionV relativeFrom="paragraph">
                  <wp:posOffset>132715</wp:posOffset>
                </wp:positionV>
                <wp:extent cx="6648450" cy="1068705"/>
                <wp:effectExtent l="635" t="0" r="184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68A6" w14:textId="77777777" w:rsidR="00572A37" w:rsidRDefault="00572A37" w:rsidP="00572A37">
                            <w:r>
                              <w:rPr>
                                <w:b/>
                              </w:rPr>
                              <w:t>Ask us about financial assistance and the various scholarship</w:t>
                            </w:r>
                            <w:r w:rsidRPr="00236DF2">
                              <w:rPr>
                                <w:b/>
                              </w:rPr>
                              <w:t xml:space="preserve"> options available including</w:t>
                            </w:r>
                            <w:r>
                              <w:t>:</w:t>
                            </w:r>
                          </w:p>
                          <w:p w14:paraId="4C117E53" w14:textId="77777777" w:rsidR="00572A37" w:rsidRPr="009C4403" w:rsidRDefault="00572A37" w:rsidP="00572A3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280936" w14:textId="77777777" w:rsidR="00572A37" w:rsidRDefault="00572A37" w:rsidP="00572A3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Indiana Choice Scholarships</w:t>
                            </w:r>
                            <w:r>
                              <w:t xml:space="preserve"> (vouchers) </w:t>
                            </w:r>
                            <w:r w:rsidRPr="00236DF2">
                              <w:rPr>
                                <w:u w:val="single"/>
                              </w:rPr>
                              <w:t xml:space="preserve">may pay up to 100% </w:t>
                            </w:r>
                            <w:r>
                              <w:t>of your child’s tuition</w:t>
                            </w:r>
                          </w:p>
                          <w:p w14:paraId="58F630AF" w14:textId="77777777" w:rsidR="00572A37" w:rsidRDefault="00572A37" w:rsidP="00572A3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36DF2">
                              <w:rPr>
                                <w:b/>
                              </w:rPr>
                              <w:t>Tax Credit Scholarships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E1E41">
                              <w:t>(SGOs)</w:t>
                            </w:r>
                            <w:r>
                              <w:t xml:space="preserve"> may be available for students who meet income guidelines</w:t>
                            </w:r>
                          </w:p>
                          <w:p w14:paraId="77B6A221" w14:textId="77777777" w:rsidR="00572A37" w:rsidRDefault="00572A37" w:rsidP="00572A3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36DF2">
                              <w:rPr>
                                <w:b/>
                              </w:rPr>
                              <w:t>Tuition Assistance Scholarships</w:t>
                            </w:r>
                            <w:r>
                              <w:t xml:space="preserve"> through the Kremer Foundation and the Christian Education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85FD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0.45pt;width:523.5pt;height:84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">
                <v:textbox style="mso-fit-shape-to-text:t">
                  <w:txbxContent>
                    <w:p w14:paraId="254E68A6" w14:textId="77777777" w:rsidR="00572A37" w:rsidRDefault="00572A37" w:rsidP="00572A37">
                      <w:r>
                        <w:rPr>
                          <w:b/>
                        </w:rPr>
                        <w:t>Ask us about financial assistance and the various scholarship</w:t>
                      </w:r>
                      <w:r w:rsidRPr="00236DF2">
                        <w:rPr>
                          <w:b/>
                        </w:rPr>
                        <w:t xml:space="preserve"> options available including</w:t>
                      </w:r>
                      <w:r>
                        <w:t>:</w:t>
                      </w:r>
                    </w:p>
                    <w:p w14:paraId="4C117E53" w14:textId="77777777" w:rsidR="00572A37" w:rsidRPr="009C4403" w:rsidRDefault="00572A37" w:rsidP="00572A37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6280936" w14:textId="77777777" w:rsidR="00572A37" w:rsidRDefault="00572A37" w:rsidP="00572A3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Indiana Choice Scholarships</w:t>
                      </w:r>
                      <w:r>
                        <w:t xml:space="preserve"> (vouchers) </w:t>
                      </w:r>
                      <w:r w:rsidRPr="00236DF2">
                        <w:rPr>
                          <w:u w:val="single"/>
                        </w:rPr>
                        <w:t xml:space="preserve">may pay up to 100% </w:t>
                      </w:r>
                      <w:r>
                        <w:t>of your child’s tuition</w:t>
                      </w:r>
                    </w:p>
                    <w:p w14:paraId="58F630AF" w14:textId="77777777" w:rsidR="00572A37" w:rsidRDefault="00572A37" w:rsidP="00572A37">
                      <w:pPr>
                        <w:numPr>
                          <w:ilvl w:val="0"/>
                          <w:numId w:val="1"/>
                        </w:numPr>
                      </w:pPr>
                      <w:r w:rsidRPr="00236DF2">
                        <w:rPr>
                          <w:b/>
                        </w:rPr>
                        <w:t>Tax Credit Scholarships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E1E41">
                        <w:t>(SGOs)</w:t>
                      </w:r>
                      <w:r>
                        <w:t xml:space="preserve"> may be available for students who meet income guidelines</w:t>
                      </w:r>
                    </w:p>
                    <w:p w14:paraId="77B6A221" w14:textId="77777777" w:rsidR="00572A37" w:rsidRDefault="00572A37" w:rsidP="00572A37">
                      <w:pPr>
                        <w:numPr>
                          <w:ilvl w:val="0"/>
                          <w:numId w:val="1"/>
                        </w:numPr>
                      </w:pPr>
                      <w:r w:rsidRPr="00236DF2">
                        <w:rPr>
                          <w:b/>
                        </w:rPr>
                        <w:t>Tuition Assistance Scholarships</w:t>
                      </w:r>
                      <w:r>
                        <w:t xml:space="preserve"> through the Kremer Foundation and the Christian Education Foundation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8876289" w14:textId="77777777" w:rsidR="00572A37" w:rsidRPr="00124F2F" w:rsidRDefault="00572A37" w:rsidP="00572A37"/>
    <w:p w14:paraId="2CDC160F" w14:textId="77777777" w:rsidR="00572A37" w:rsidRPr="00124F2F" w:rsidRDefault="00572A37" w:rsidP="00572A37"/>
    <w:p w14:paraId="124713B2" w14:textId="77777777" w:rsidR="00572A37" w:rsidRPr="00124F2F" w:rsidRDefault="00572A37" w:rsidP="00572A37"/>
    <w:p w14:paraId="4BCB49C3" w14:textId="77777777" w:rsidR="00572A37" w:rsidRPr="00124F2F" w:rsidRDefault="00572A37" w:rsidP="00572A37"/>
    <w:p w14:paraId="50D99D39" w14:textId="77777777" w:rsidR="00572A37" w:rsidRPr="00124F2F" w:rsidRDefault="00572A37" w:rsidP="00572A37"/>
    <w:p w14:paraId="47717650" w14:textId="77777777" w:rsidR="00572A37" w:rsidRDefault="00572A37" w:rsidP="00572A37"/>
    <w:p w14:paraId="66D4B666" w14:textId="77777777" w:rsidR="00572A37" w:rsidRPr="00124F2F" w:rsidRDefault="00572A37" w:rsidP="00572A37">
      <w:pPr>
        <w:jc w:val="center"/>
      </w:pPr>
    </w:p>
    <w:p w14:paraId="09665102" w14:textId="77777777" w:rsidR="00776751" w:rsidRDefault="00776751"/>
    <w:sectPr w:rsidR="00776751" w:rsidSect="00A927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B622" w14:textId="77777777" w:rsidR="003B2A7D" w:rsidRDefault="003B2A7D" w:rsidP="00047B7C">
      <w:r>
        <w:separator/>
      </w:r>
    </w:p>
  </w:endnote>
  <w:endnote w:type="continuationSeparator" w:id="0">
    <w:p w14:paraId="2431D44E" w14:textId="77777777" w:rsidR="003B2A7D" w:rsidRDefault="003B2A7D" w:rsidP="0004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DBC4" w14:textId="3DA133C1" w:rsidR="004E27B8" w:rsidRPr="002E6DC8" w:rsidRDefault="00047B7C" w:rsidP="002E6DC8">
    <w:pPr>
      <w:pStyle w:val="Footer"/>
      <w:jc w:val="right"/>
      <w:rPr>
        <w:sz w:val="20"/>
        <w:szCs w:val="20"/>
      </w:rPr>
    </w:pPr>
    <w:r w:rsidRPr="00047B7C">
      <w:rPr>
        <w:sz w:val="20"/>
        <w:szCs w:val="20"/>
      </w:rPr>
      <w:ptab w:relativeTo="margin" w:alignment="right" w:leader="none"/>
    </w:r>
    <w:r>
      <w:rPr>
        <w:sz w:val="20"/>
        <w:szCs w:val="20"/>
      </w:rPr>
      <w:t>Updated 1/23/2018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A7BC1" w14:textId="77777777" w:rsidR="003B2A7D" w:rsidRDefault="003B2A7D" w:rsidP="00047B7C">
      <w:r>
        <w:separator/>
      </w:r>
    </w:p>
  </w:footnote>
  <w:footnote w:type="continuationSeparator" w:id="0">
    <w:p w14:paraId="5A2623CC" w14:textId="77777777" w:rsidR="003B2A7D" w:rsidRDefault="003B2A7D" w:rsidP="0004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10AE"/>
    <w:multiLevelType w:val="hybridMultilevel"/>
    <w:tmpl w:val="C5F02A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F045A"/>
    <w:multiLevelType w:val="hybridMultilevel"/>
    <w:tmpl w:val="3682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C7521"/>
    <w:multiLevelType w:val="hybridMultilevel"/>
    <w:tmpl w:val="ACFE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37"/>
    <w:rsid w:val="00047B7C"/>
    <w:rsid w:val="00056853"/>
    <w:rsid w:val="000A6E2B"/>
    <w:rsid w:val="000B1BF0"/>
    <w:rsid w:val="00107D63"/>
    <w:rsid w:val="00234E1C"/>
    <w:rsid w:val="00287FF4"/>
    <w:rsid w:val="003B2A7D"/>
    <w:rsid w:val="003F1F80"/>
    <w:rsid w:val="004127CA"/>
    <w:rsid w:val="00444818"/>
    <w:rsid w:val="004979F1"/>
    <w:rsid w:val="004B5003"/>
    <w:rsid w:val="004F32AD"/>
    <w:rsid w:val="00571E51"/>
    <w:rsid w:val="00572A37"/>
    <w:rsid w:val="00661657"/>
    <w:rsid w:val="006B46F0"/>
    <w:rsid w:val="00776751"/>
    <w:rsid w:val="008507C7"/>
    <w:rsid w:val="00A66360"/>
    <w:rsid w:val="00A85257"/>
    <w:rsid w:val="00AA6857"/>
    <w:rsid w:val="00B042E8"/>
    <w:rsid w:val="00C91318"/>
    <w:rsid w:val="00CE6878"/>
    <w:rsid w:val="00E259AB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CB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A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3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2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 Strodel</dc:creator>
  <cp:keywords/>
  <dc:description/>
  <cp:lastModifiedBy>Bethann Strodel</cp:lastModifiedBy>
  <cp:revision>2</cp:revision>
  <cp:lastPrinted>2018-01-23T22:43:00Z</cp:lastPrinted>
  <dcterms:created xsi:type="dcterms:W3CDTF">2018-01-23T22:47:00Z</dcterms:created>
  <dcterms:modified xsi:type="dcterms:W3CDTF">2018-01-23T22:47:00Z</dcterms:modified>
</cp:coreProperties>
</file>